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52" w:firstLineChars="98"/>
        <w:rPr>
          <w:rFonts w:ascii="宋体" w:hAnsi="宋体"/>
          <w:b/>
          <w:bCs/>
          <w:color w:val="FF0000"/>
          <w:spacing w:val="-60"/>
          <w:sz w:val="72"/>
        </w:rPr>
      </w:pPr>
      <w:r>
        <w:rPr>
          <w:rFonts w:hint="eastAsia" w:ascii="黑体" w:eastAsia="黑体"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color w:val="FF0000"/>
          <w:spacing w:val="-60"/>
          <w:sz w:val="72"/>
        </w:rPr>
        <w:t>深  圳  市  质  量  协  会</w:t>
      </w:r>
    </w:p>
    <w:p>
      <w:pPr>
        <w:spacing w:line="52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pict>
          <v:line id="Line 2" o:spid="_x0000_s1026" o:spt="20" style="position:absolute;left:0pt;flip:y;margin-left:-4.95pt;margin-top:4.65pt;height:0pt;width:423.9pt;z-index:251658240;mso-width-relative:page;mso-height-relative:page;" coordsize="21600,21600">
            <v:path arrowok="t"/>
            <v:fill focussize="0,0"/>
            <v:stroke weight="1pt" color="#FF0000"/>
            <v:imagedata o:title=""/>
            <o:lock v:ext="edit"/>
          </v:line>
        </w:pict>
      </w:r>
    </w:p>
    <w:p>
      <w:pPr>
        <w:spacing w:line="52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关于邀请参加第</w:t>
      </w:r>
      <w:r>
        <w:rPr>
          <w:rFonts w:hint="eastAsia" w:ascii="宋体" w:hAnsi="宋体"/>
          <w:sz w:val="44"/>
          <w:szCs w:val="44"/>
          <w:lang w:val="en-US" w:eastAsia="zh-CN"/>
        </w:rPr>
        <w:t>七</w:t>
      </w:r>
      <w:r>
        <w:rPr>
          <w:rFonts w:hint="eastAsia" w:ascii="宋体" w:hAnsi="宋体"/>
          <w:sz w:val="44"/>
          <w:szCs w:val="44"/>
        </w:rPr>
        <w:t>届全国品牌故事大赛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(深圳赛区)观摩学习的通知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Arial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b/>
          <w:color w:val="333333"/>
          <w:sz w:val="32"/>
          <w:szCs w:val="32"/>
          <w:shd w:val="clear" w:color="auto" w:fill="FFFFFF"/>
          <w:lang w:val="en-US" w:eastAsia="zh-CN"/>
        </w:rPr>
        <w:t>各粤港澳大湾区品牌</w:t>
      </w:r>
      <w:r>
        <w:rPr>
          <w:rFonts w:hint="eastAsia" w:ascii="仿宋" w:hAnsi="仿宋" w:eastAsia="仿宋" w:cs="Arial"/>
          <w:b/>
          <w:color w:val="333333"/>
          <w:sz w:val="32"/>
          <w:szCs w:val="32"/>
          <w:shd w:val="clear" w:color="auto" w:fill="FFFFFF"/>
        </w:rPr>
        <w:t>企业: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为贯彻落实国务院《关于发挥品牌引领作用推动供需结构升级的意见》的精神，受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主办单位</w:t>
      </w:r>
      <w:r>
        <w:rPr>
          <w:rFonts w:hint="eastAsia" w:ascii="仿宋_GB2312" w:hAnsi="仿宋" w:eastAsia="仿宋_GB2312" w:cs="仿宋"/>
          <w:sz w:val="32"/>
          <w:szCs w:val="32"/>
        </w:rPr>
        <w:t>中国质量协会委托，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2019年，</w:t>
      </w:r>
      <w:r>
        <w:rPr>
          <w:rFonts w:hint="eastAsia" w:ascii="仿宋_GB2312" w:hAnsi="仿宋" w:eastAsia="仿宋_GB2312" w:cs="仿宋"/>
          <w:sz w:val="32"/>
          <w:szCs w:val="32"/>
        </w:rPr>
        <w:t>深圳市质量协会和深圳市宝安区品牌促进会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继续</w:t>
      </w:r>
      <w:r>
        <w:rPr>
          <w:rFonts w:hint="eastAsia" w:ascii="仿宋_GB2312" w:hAnsi="仿宋" w:eastAsia="仿宋_GB2312" w:cs="仿宋"/>
          <w:sz w:val="32"/>
          <w:szCs w:val="32"/>
        </w:rPr>
        <w:t>承办第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七</w:t>
      </w:r>
      <w:r>
        <w:rPr>
          <w:rFonts w:hint="eastAsia" w:ascii="仿宋_GB2312" w:hAnsi="仿宋" w:eastAsia="仿宋_GB2312" w:cs="仿宋"/>
          <w:sz w:val="32"/>
          <w:szCs w:val="32"/>
        </w:rPr>
        <w:t>届全国品牌故事大赛（深圳赛区）。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全国品牌故事大赛以挖掘企业品牌故事为主，鼓励重点工业企业标杆、名牌产品、地理标志产品、名优特产企业和工业企业品牌结合本行业特色、企业实际案例，从品牌战略、品牌定位、品牌营销、品牌培育、品牌宣传等方面，以演讲、微电影、故事征文三种比赛形式，讲述企业品牌的历史传承、品牌文化积淀以及品牌建设过程中的感人故事和深刻体会。</w:t>
      </w:r>
    </w:p>
    <w:p>
      <w:pPr>
        <w:spacing w:line="520" w:lineRule="exact"/>
        <w:ind w:firstLine="42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/>
        </w:rPr>
        <w:pict>
          <v:shape id="图片 2" o:spid="_x0000_s1027" o:spt="75" alt="1" type="#_x0000_t75" style="position:absolute;left:0pt;margin-left:279.9pt;margin-top:154.45pt;height:115.5pt;width:115.5pt;z-index:-251657216;mso-width-relative:page;mso-height-relative:page;" filled="f" o:preferrelative="t" stroked="f" coordsize="21600,21600" o:allowoverlap="f">
            <v:path/>
            <v:fill on="f" focussize="0,0"/>
            <v:stroke on="f"/>
            <v:imagedata r:id="rId4" o:title="1"/>
            <o:lock v:ext="edit" aspectratio="t"/>
          </v:shape>
        </w:pict>
      </w:r>
      <w:r>
        <w:rPr>
          <w:rFonts w:hint="eastAsia" w:ascii="仿宋_GB2312" w:hAnsi="仿宋" w:eastAsia="仿宋_GB2312" w:cs="仿宋"/>
          <w:sz w:val="32"/>
          <w:szCs w:val="32"/>
        </w:rPr>
        <w:t>经研究,定于201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3日14:00在深圳皇庭V酒店5层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紫荆+紫香厅（深圳市福田区金田路2028号，深圳会展中心地铁站附近）举办第七届全国品牌故事大赛(</w:t>
      </w:r>
      <w:r>
        <w:rPr>
          <w:rFonts w:hint="eastAsia" w:ascii="仿宋_GB2312" w:hAnsi="仿宋" w:eastAsia="仿宋_GB2312" w:cs="仿宋"/>
          <w:sz w:val="32"/>
          <w:szCs w:val="32"/>
        </w:rPr>
        <w:t>深圳赛区)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决</w:t>
      </w:r>
      <w:r>
        <w:rPr>
          <w:rFonts w:hint="eastAsia" w:ascii="仿宋_GB2312" w:hAnsi="仿宋" w:eastAsia="仿宋_GB2312" w:cs="仿宋"/>
          <w:sz w:val="32"/>
          <w:szCs w:val="32"/>
        </w:rPr>
        <w:t>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欢迎深圳市拥有自主品牌的企业前来观摩学习(免费)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优秀选手激情PK，创作团队现身说法，专业评委麻辣点评，这是一场精彩、专业、上档次、有品位的品牌故事学习之旅。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深圳市质量协会</w:t>
      </w:r>
    </w:p>
    <w:p>
      <w:pPr>
        <w:spacing w:line="520" w:lineRule="exact"/>
        <w:ind w:firstLine="640" w:firstLineChars="200"/>
        <w:jc w:val="righ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二○一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"/>
          <w:sz w:val="32"/>
          <w:szCs w:val="32"/>
        </w:rPr>
        <w:t>年八月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二十一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spacing w:line="600" w:lineRule="exact"/>
        <w:ind w:right="-197" w:rightChars="-94"/>
        <w:jc w:val="center"/>
        <w:rPr>
          <w:rStyle w:val="7"/>
          <w:rFonts w:ascii="仿宋" w:hAnsi="仿宋" w:eastAsia="仿宋"/>
          <w:b/>
          <w:sz w:val="32"/>
          <w:szCs w:val="32"/>
        </w:rPr>
      </w:pPr>
      <w:r>
        <w:rPr>
          <w:rStyle w:val="7"/>
          <w:rFonts w:hint="eastAsia" w:ascii="仿宋" w:hAnsi="仿宋" w:eastAsia="仿宋"/>
          <w:b/>
          <w:sz w:val="32"/>
          <w:szCs w:val="32"/>
          <w:lang w:val="en-US" w:eastAsia="zh-CN"/>
        </w:rPr>
        <w:t>观摩</w:t>
      </w:r>
      <w:r>
        <w:rPr>
          <w:rStyle w:val="7"/>
          <w:rFonts w:hint="eastAsia" w:ascii="仿宋" w:hAnsi="仿宋" w:eastAsia="仿宋"/>
          <w:b/>
          <w:sz w:val="32"/>
          <w:szCs w:val="32"/>
        </w:rPr>
        <w:t>回执</w:t>
      </w:r>
    </w:p>
    <w:p>
      <w:pPr>
        <w:spacing w:line="600" w:lineRule="exact"/>
        <w:ind w:right="-197" w:rightChars="-94"/>
        <w:rPr>
          <w:rStyle w:val="8"/>
          <w:rFonts w:ascii="仿宋" w:hAnsi="仿宋" w:eastAsia="仿宋" w:cs="宋体"/>
          <w:kern w:val="0"/>
          <w:sz w:val="32"/>
          <w:szCs w:val="32"/>
        </w:rPr>
      </w:pPr>
      <w:r>
        <w:rPr>
          <w:rStyle w:val="8"/>
          <w:rFonts w:hint="eastAsia" w:ascii="仿宋" w:hAnsi="仿宋" w:eastAsia="仿宋" w:cs="宋体"/>
          <w:kern w:val="0"/>
          <w:sz w:val="32"/>
          <w:szCs w:val="32"/>
        </w:rPr>
        <w:t>联系人：</w:t>
      </w:r>
      <w:r>
        <w:rPr>
          <w:rStyle w:val="8"/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郎奕</w:t>
      </w:r>
      <w:r>
        <w:rPr>
          <w:rStyle w:val="8"/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spacing w:line="600" w:lineRule="exact"/>
        <w:ind w:right="-197" w:rightChars="-94"/>
        <w:rPr>
          <w:rStyle w:val="8"/>
          <w:rFonts w:ascii="仿宋" w:hAnsi="仿宋" w:eastAsia="仿宋" w:cs="宋体"/>
          <w:kern w:val="0"/>
          <w:sz w:val="32"/>
          <w:szCs w:val="32"/>
        </w:rPr>
      </w:pPr>
      <w:r>
        <w:rPr>
          <w:rStyle w:val="8"/>
          <w:rFonts w:hint="eastAsia" w:ascii="仿宋" w:hAnsi="仿宋" w:eastAsia="仿宋" w:cs="宋体"/>
          <w:kern w:val="0"/>
          <w:sz w:val="32"/>
          <w:szCs w:val="32"/>
        </w:rPr>
        <w:t>联系电话:</w:t>
      </w:r>
      <w:r>
        <w:rPr>
          <w:rStyle w:val="8"/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0755-23203774 </w:t>
      </w:r>
      <w:r>
        <w:rPr>
          <w:rStyle w:val="8"/>
          <w:rFonts w:hint="eastAsia" w:ascii="仿宋" w:hAnsi="仿宋" w:eastAsia="仿宋" w:cs="宋体"/>
          <w:kern w:val="0"/>
          <w:sz w:val="32"/>
          <w:szCs w:val="32"/>
        </w:rPr>
        <w:t>电子邮箱：szaqhyb@126.com</w:t>
      </w:r>
    </w:p>
    <w:tbl>
      <w:tblPr>
        <w:tblStyle w:val="4"/>
        <w:tblW w:w="91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94"/>
        <w:gridCol w:w="2421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15" w:type="dxa"/>
            <w:gridSpan w:val="3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观摩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3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3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85A"/>
    <w:rsid w:val="0020081D"/>
    <w:rsid w:val="0040185A"/>
    <w:rsid w:val="00432668"/>
    <w:rsid w:val="00555BDE"/>
    <w:rsid w:val="00B339FA"/>
    <w:rsid w:val="00FD1064"/>
    <w:rsid w:val="03110876"/>
    <w:rsid w:val="0356120E"/>
    <w:rsid w:val="05970CA4"/>
    <w:rsid w:val="0F631938"/>
    <w:rsid w:val="0FDE5C07"/>
    <w:rsid w:val="110C7990"/>
    <w:rsid w:val="13BB04BE"/>
    <w:rsid w:val="21E416EB"/>
    <w:rsid w:val="223872C5"/>
    <w:rsid w:val="249A1FBA"/>
    <w:rsid w:val="26A30781"/>
    <w:rsid w:val="2A903B27"/>
    <w:rsid w:val="2BCE2BE5"/>
    <w:rsid w:val="30466486"/>
    <w:rsid w:val="39D64112"/>
    <w:rsid w:val="3D1F76D4"/>
    <w:rsid w:val="408D09BF"/>
    <w:rsid w:val="44DD7D14"/>
    <w:rsid w:val="4D6075A5"/>
    <w:rsid w:val="52FF505E"/>
    <w:rsid w:val="54B42843"/>
    <w:rsid w:val="598E7C70"/>
    <w:rsid w:val="59FB49B4"/>
    <w:rsid w:val="5A1B1196"/>
    <w:rsid w:val="5B6F1515"/>
    <w:rsid w:val="5C717103"/>
    <w:rsid w:val="63290A5C"/>
    <w:rsid w:val="64774DBF"/>
    <w:rsid w:val="65186B38"/>
    <w:rsid w:val="66303529"/>
    <w:rsid w:val="66696112"/>
    <w:rsid w:val="674048F8"/>
    <w:rsid w:val="67BD47B7"/>
    <w:rsid w:val="6E9415B9"/>
    <w:rsid w:val="7F58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s1"/>
    <w:basedOn w:val="5"/>
    <w:qFormat/>
    <w:uiPriority w:val="0"/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页眉 Char"/>
    <w:basedOn w:val="5"/>
    <w:link w:val="3"/>
    <w:qFormat/>
    <w:uiPriority w:val="0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53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82</Words>
  <Characters>469</Characters>
  <Lines>3</Lines>
  <Paragraphs>1</Paragraphs>
  <TotalTime>8</TotalTime>
  <ScaleCrop>false</ScaleCrop>
  <LinksUpToDate>false</LinksUpToDate>
  <CharactersWithSpaces>550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2018-08-01T06:29:00Z</dcterms:created>
  <dc:creator>洛水</dc:creator>
  <cp:lastModifiedBy>阿凡提</cp:lastModifiedBy>
  <dcterms:modified xsi:type="dcterms:W3CDTF">2019-08-21T07:09:25Z</dcterms:modified>
  <dc:title>深  圳  市  质  量  协  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